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A3CF6" w14:textId="77777777" w:rsidR="00150D46" w:rsidRPr="00150D46" w:rsidRDefault="00150D46" w:rsidP="00150D46">
      <w:pPr>
        <w:widowControl/>
        <w:spacing w:after="160" w:line="259" w:lineRule="auto"/>
        <w:jc w:val="right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b/>
          <w:bCs/>
          <w:color w:val="auto"/>
          <w:lang w:eastAsia="en-US" w:bidi="ar-SA"/>
        </w:rPr>
        <w:t xml:space="preserve">Załącznik Nr 1 do SWZ / umowy </w:t>
      </w:r>
    </w:p>
    <w:p w14:paraId="4F614E4E" w14:textId="77777777" w:rsidR="00150D46" w:rsidRPr="00150D46" w:rsidRDefault="00150D46" w:rsidP="00150D46">
      <w:pPr>
        <w:widowControl/>
        <w:spacing w:after="160" w:line="259" w:lineRule="auto"/>
        <w:jc w:val="right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</w:p>
    <w:p w14:paraId="6305F53B" w14:textId="77777777" w:rsidR="00150D46" w:rsidRPr="00150D46" w:rsidRDefault="00150D46" w:rsidP="00150D46">
      <w:pPr>
        <w:widowControl/>
        <w:spacing w:after="160" w:line="259" w:lineRule="auto"/>
        <w:jc w:val="center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b/>
          <w:bCs/>
          <w:color w:val="auto"/>
          <w:lang w:eastAsia="en-US" w:bidi="ar-SA"/>
        </w:rPr>
        <w:t>OPIS PRZEDMIOTU ZAMÓWIENIA</w:t>
      </w:r>
    </w:p>
    <w:p w14:paraId="769DB724" w14:textId="77777777" w:rsidR="00150D46" w:rsidRPr="00150D46" w:rsidRDefault="00150D46" w:rsidP="00150D46">
      <w:pPr>
        <w:widowControl/>
        <w:spacing w:after="160" w:line="259" w:lineRule="auto"/>
        <w:jc w:val="center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</w:p>
    <w:p w14:paraId="1B87D0B3" w14:textId="6B45390F" w:rsidR="00150D46" w:rsidRPr="00150D46" w:rsidRDefault="00150D46" w:rsidP="00150D46">
      <w:pPr>
        <w:widowControl/>
        <w:numPr>
          <w:ilvl w:val="0"/>
          <w:numId w:val="65"/>
        </w:numPr>
        <w:tabs>
          <w:tab w:val="left" w:pos="284"/>
        </w:tabs>
        <w:spacing w:after="160" w:line="259" w:lineRule="auto"/>
        <w:ind w:left="142" w:hanging="142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Przedmiotem zamówienia jest wykonanie robót budowlanych  w budynku Sądu Rejonowego dla m.st. Warszawy w Warszawie przy ul. Czerniakowskiej 100</w:t>
      </w:r>
      <w:r w:rsidR="00655F17">
        <w:rPr>
          <w:rFonts w:ascii="Garamond" w:eastAsiaTheme="minorHAnsi" w:hAnsi="Garamond" w:cs="Times New Roman"/>
          <w:color w:val="auto"/>
          <w:lang w:eastAsia="en-US" w:bidi="ar-SA"/>
        </w:rPr>
        <w:t>A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 w Warszawie. </w:t>
      </w:r>
    </w:p>
    <w:p w14:paraId="445E16CE" w14:textId="77777777" w:rsidR="00150D46" w:rsidRPr="00150D46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Zakresem robót budowlanych objęte są pokoje: </w:t>
      </w:r>
    </w:p>
    <w:p w14:paraId="6F44A90E" w14:textId="4538483E" w:rsidR="00150D46" w:rsidRDefault="00150D46" w:rsidP="008E6FEA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pok. </w:t>
      </w:r>
      <w:r w:rsidR="008E6FEA">
        <w:rPr>
          <w:rFonts w:ascii="Garamond" w:eastAsia="Times New Roman" w:hAnsi="Garamond" w:cs="Times New Roman"/>
          <w:color w:val="auto"/>
          <w:lang w:bidi="ar-SA"/>
        </w:rPr>
        <w:t>108 pow. 22,07 m2</w:t>
      </w:r>
    </w:p>
    <w:p w14:paraId="06822A6F" w14:textId="39731283" w:rsidR="008E6FEA" w:rsidRDefault="008E6FEA" w:rsidP="008E6FEA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>
        <w:rPr>
          <w:rFonts w:ascii="Garamond" w:eastAsia="Times New Roman" w:hAnsi="Garamond" w:cs="Times New Roman"/>
          <w:color w:val="auto"/>
          <w:lang w:bidi="ar-SA"/>
        </w:rPr>
        <w:t>pok. 124 pow. 20,66 m2</w:t>
      </w:r>
    </w:p>
    <w:p w14:paraId="5B92D1B5" w14:textId="6E264774" w:rsidR="008E6FEA" w:rsidRDefault="008E6FEA" w:rsidP="008E6FEA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>
        <w:rPr>
          <w:rFonts w:ascii="Garamond" w:eastAsia="Times New Roman" w:hAnsi="Garamond" w:cs="Times New Roman"/>
          <w:color w:val="auto"/>
          <w:lang w:bidi="ar-SA"/>
        </w:rPr>
        <w:t>pok. 134 pow. 19,68 m2</w:t>
      </w:r>
    </w:p>
    <w:p w14:paraId="4F058FC9" w14:textId="24227BB2" w:rsidR="008E6FEA" w:rsidRDefault="008E6FEA" w:rsidP="008E6FEA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>
        <w:rPr>
          <w:rFonts w:ascii="Garamond" w:eastAsia="Times New Roman" w:hAnsi="Garamond" w:cs="Times New Roman"/>
          <w:color w:val="auto"/>
          <w:lang w:bidi="ar-SA"/>
        </w:rPr>
        <w:t>pok. 121 pow. 19,51 m2</w:t>
      </w:r>
    </w:p>
    <w:p w14:paraId="663F184C" w14:textId="7A264855" w:rsidR="008E6FEA" w:rsidRDefault="008E6FEA" w:rsidP="008E6FEA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>
        <w:rPr>
          <w:rFonts w:ascii="Garamond" w:eastAsia="Times New Roman" w:hAnsi="Garamond" w:cs="Times New Roman"/>
          <w:color w:val="auto"/>
          <w:lang w:bidi="ar-SA"/>
        </w:rPr>
        <w:t>pok. 138 pow. 15,06 m2</w:t>
      </w:r>
    </w:p>
    <w:p w14:paraId="0734449F" w14:textId="14D85B04" w:rsidR="008E6FEA" w:rsidRDefault="008E6FEA" w:rsidP="008E6FEA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>
        <w:rPr>
          <w:rFonts w:ascii="Garamond" w:eastAsia="Times New Roman" w:hAnsi="Garamond" w:cs="Times New Roman"/>
          <w:color w:val="auto"/>
          <w:lang w:bidi="ar-SA"/>
        </w:rPr>
        <w:t>pok. 364 pow. 14,77 m2</w:t>
      </w:r>
    </w:p>
    <w:p w14:paraId="6BBFA7CF" w14:textId="627B10EB" w:rsidR="008E6FEA" w:rsidRDefault="008E6FEA" w:rsidP="008E6FEA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>
        <w:rPr>
          <w:rFonts w:ascii="Garamond" w:eastAsia="Times New Roman" w:hAnsi="Garamond" w:cs="Times New Roman"/>
          <w:color w:val="auto"/>
          <w:lang w:bidi="ar-SA"/>
        </w:rPr>
        <w:t>pok. 135 pow. 19,53 m2</w:t>
      </w:r>
    </w:p>
    <w:p w14:paraId="4C149820" w14:textId="5C309901" w:rsidR="008E6FEA" w:rsidRDefault="008E6FEA" w:rsidP="008E6FEA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>
        <w:rPr>
          <w:rFonts w:ascii="Garamond" w:eastAsia="Times New Roman" w:hAnsi="Garamond" w:cs="Times New Roman"/>
          <w:color w:val="auto"/>
          <w:lang w:bidi="ar-SA"/>
        </w:rPr>
        <w:t>pok. 136 pow. 14,83 m2</w:t>
      </w:r>
    </w:p>
    <w:p w14:paraId="64AF7001" w14:textId="48335D80" w:rsidR="008E6FEA" w:rsidRDefault="008E6FEA" w:rsidP="008E6FEA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>
        <w:rPr>
          <w:rFonts w:ascii="Garamond" w:eastAsia="Times New Roman" w:hAnsi="Garamond" w:cs="Times New Roman"/>
          <w:color w:val="auto"/>
          <w:lang w:bidi="ar-SA"/>
        </w:rPr>
        <w:t>pok. 145 pow. 35,21 m2</w:t>
      </w:r>
    </w:p>
    <w:p w14:paraId="35629BC6" w14:textId="3738C017" w:rsidR="008E6FEA" w:rsidRPr="00150D46" w:rsidRDefault="008E6FEA" w:rsidP="008E6FEA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>
        <w:rPr>
          <w:rFonts w:ascii="Garamond" w:eastAsia="Times New Roman" w:hAnsi="Garamond" w:cs="Times New Roman"/>
          <w:color w:val="auto"/>
          <w:lang w:bidi="ar-SA"/>
        </w:rPr>
        <w:t>pok. 240 pow. 20,80 m2</w:t>
      </w:r>
    </w:p>
    <w:p w14:paraId="30E4ADD8" w14:textId="77777777" w:rsidR="00150D46" w:rsidRPr="00150D46" w:rsidRDefault="00150D46" w:rsidP="00150D46">
      <w:pPr>
        <w:widowControl/>
        <w:rPr>
          <w:rFonts w:ascii="Garamond" w:eastAsia="Times New Roman" w:hAnsi="Garamond" w:cs="Times New Roman"/>
          <w:color w:val="auto"/>
          <w:lang w:bidi="ar-SA"/>
        </w:rPr>
      </w:pPr>
    </w:p>
    <w:p w14:paraId="4FEE0E76" w14:textId="77777777" w:rsidR="00150D46" w:rsidRPr="00150D46" w:rsidRDefault="00150D46" w:rsidP="00150D46">
      <w:pPr>
        <w:widowControl/>
        <w:rPr>
          <w:rFonts w:ascii="Garamond" w:eastAsia="Times New Roman" w:hAnsi="Garamond" w:cs="Times New Roman"/>
          <w:color w:val="auto"/>
          <w:lang w:bidi="ar-SA"/>
        </w:rPr>
      </w:pPr>
    </w:p>
    <w:p w14:paraId="7AAD9A48" w14:textId="77777777" w:rsidR="00150D46" w:rsidRPr="00150D46" w:rsidRDefault="00150D46" w:rsidP="00150D46">
      <w:pPr>
        <w:widowControl/>
        <w:rPr>
          <w:rFonts w:ascii="Garamond" w:eastAsia="Times New Roman" w:hAnsi="Garamond" w:cs="Calibri"/>
          <w:color w:val="auto"/>
          <w:lang w:bidi="ar-SA"/>
        </w:rPr>
      </w:pPr>
    </w:p>
    <w:p w14:paraId="7104BF0E" w14:textId="77777777" w:rsidR="00150D46" w:rsidRPr="00851369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851369">
        <w:rPr>
          <w:rFonts w:ascii="Garamond" w:eastAsiaTheme="minorHAnsi" w:hAnsi="Garamond" w:cs="Times New Roman"/>
          <w:color w:val="auto"/>
          <w:lang w:eastAsia="en-US" w:bidi="ar-SA"/>
        </w:rPr>
        <w:t>- prace związane z naprawa tynków</w:t>
      </w:r>
    </w:p>
    <w:p w14:paraId="5E226283" w14:textId="77777777" w:rsidR="00150D46" w:rsidRPr="00851369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851369">
        <w:rPr>
          <w:rFonts w:ascii="Garamond" w:eastAsiaTheme="minorHAnsi" w:hAnsi="Garamond" w:cs="Times New Roman"/>
          <w:color w:val="auto"/>
          <w:lang w:eastAsia="en-US" w:bidi="ar-SA"/>
        </w:rPr>
        <w:t>- prace związane z gruntowaniem podłoży</w:t>
      </w:r>
    </w:p>
    <w:p w14:paraId="682A211E" w14:textId="77777777" w:rsidR="00150D46" w:rsidRPr="00851369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851369">
        <w:rPr>
          <w:rFonts w:ascii="Garamond" w:eastAsiaTheme="minorHAnsi" w:hAnsi="Garamond" w:cs="Times New Roman"/>
          <w:color w:val="auto"/>
          <w:lang w:eastAsia="en-US" w:bidi="ar-SA"/>
        </w:rPr>
        <w:t>- prace związane z malowaniem ścian</w:t>
      </w:r>
    </w:p>
    <w:p w14:paraId="33455A76" w14:textId="77777777" w:rsidR="00150D46" w:rsidRPr="00851369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851369">
        <w:rPr>
          <w:rFonts w:ascii="Garamond" w:eastAsiaTheme="minorHAnsi" w:hAnsi="Garamond" w:cs="Times New Roman"/>
          <w:color w:val="auto"/>
          <w:lang w:eastAsia="en-US" w:bidi="ar-SA"/>
        </w:rPr>
        <w:t>- prace związane z położeniem paneli winylowych</w:t>
      </w:r>
    </w:p>
    <w:p w14:paraId="06AC1D30" w14:textId="77777777" w:rsidR="00150D46" w:rsidRPr="00851369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851369">
        <w:rPr>
          <w:rFonts w:ascii="Garamond" w:eastAsiaTheme="minorHAnsi" w:hAnsi="Garamond" w:cs="Times New Roman"/>
          <w:color w:val="auto"/>
          <w:lang w:eastAsia="en-US" w:bidi="ar-SA"/>
        </w:rPr>
        <w:t>- prace związane z montażem listew podłogowych</w:t>
      </w:r>
    </w:p>
    <w:p w14:paraId="13E87662" w14:textId="77777777" w:rsidR="00150D46" w:rsidRPr="00851369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58124D11" w14:textId="77777777" w:rsidR="00150D46" w:rsidRPr="00851369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851369">
        <w:rPr>
          <w:rFonts w:ascii="Garamond" w:eastAsiaTheme="minorHAnsi" w:hAnsi="Garamond" w:cs="Times New Roman"/>
          <w:color w:val="auto"/>
          <w:lang w:eastAsia="en-US" w:bidi="ar-SA"/>
        </w:rPr>
        <w:t>Parametry paneli:</w:t>
      </w:r>
    </w:p>
    <w:p w14:paraId="5123593F" w14:textId="77777777" w:rsidR="00150D46" w:rsidRPr="00851369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54239815" w14:textId="0EF9D686" w:rsidR="00150D46" w:rsidRPr="00851369" w:rsidRDefault="00150D46" w:rsidP="00150D46">
      <w:pPr>
        <w:widowControl/>
        <w:spacing w:line="360" w:lineRule="auto"/>
        <w:ind w:left="720" w:right="-143"/>
        <w:jc w:val="both"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b/>
          <w:i/>
          <w:color w:val="auto"/>
          <w:lang w:bidi="ar-SA"/>
        </w:rPr>
        <w:t>Powierzchnie podłóg</w:t>
      </w: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 – muszą być łatwe do czyszczenia oraz w miarę potrzeb do dezynfekcji. Wymaga to stosowania powierzchni nieprzepuszczalnych, niepochłaniających, zmywalnych oraz nietoksycznych. Ponadto pod wszystkie powierzchnie podłóg jest możliwość zastosowania akustycznego podkładu jednostronnie klejącego, który</w:t>
      </w:r>
      <w:r w:rsidRPr="00851369">
        <w:rPr>
          <w:rFonts w:ascii="Garamond" w:eastAsia="Times New Roman" w:hAnsi="Garamond" w:cs="Arial"/>
          <w:color w:val="auto"/>
          <w:lang w:bidi="ar-SA"/>
        </w:rPr>
        <w:t xml:space="preserve"> </w:t>
      </w:r>
      <w:r w:rsidRPr="00851369">
        <w:rPr>
          <w:rFonts w:ascii="Garamond" w:eastAsia="Times New Roman" w:hAnsi="Garamond" w:cs="Arial"/>
          <w:lang w:bidi="ar-SA"/>
        </w:rPr>
        <w:t>jest podkładem ze zintegrowaną siatką stabilizującą oraz klejem (</w:t>
      </w:r>
      <w:r w:rsidRPr="00851369">
        <w:rPr>
          <w:rFonts w:ascii="Garamond" w:eastAsia="Times New Roman" w:hAnsi="Garamond" w:cs="Times New Roman"/>
          <w:color w:val="auto"/>
          <w:lang w:bidi="ar-SA"/>
        </w:rPr>
        <w:t>pozwala na szybką i</w:t>
      </w:r>
      <w:r w:rsidR="00655F17">
        <w:rPr>
          <w:rFonts w:ascii="Garamond" w:eastAsia="Times New Roman" w:hAnsi="Garamond" w:cs="Times New Roman"/>
          <w:color w:val="auto"/>
          <w:lang w:bidi="ar-SA"/>
        </w:rPr>
        <w:t> </w:t>
      </w: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bezproblemową instalację podłóg winylowych w systemie podłogi pływającej, bez </w:t>
      </w:r>
      <w:r w:rsidRPr="00851369">
        <w:rPr>
          <w:rFonts w:ascii="Garamond" w:eastAsia="Times New Roman" w:hAnsi="Garamond" w:cs="Times New Roman"/>
          <w:color w:val="auto"/>
          <w:lang w:bidi="ar-SA"/>
        </w:rPr>
        <w:lastRenderedPageBreak/>
        <w:t>konieczności wyrównywania podłoża i stosowania kleju - niweluje drobne nierówności posadzki max do 1mm).</w:t>
      </w:r>
    </w:p>
    <w:p w14:paraId="748E416E" w14:textId="77777777" w:rsidR="00150D46" w:rsidRPr="00851369" w:rsidRDefault="00150D46" w:rsidP="00150D46">
      <w:pPr>
        <w:widowControl/>
        <w:autoSpaceDE w:val="0"/>
        <w:autoSpaceDN w:val="0"/>
        <w:spacing w:line="360" w:lineRule="auto"/>
        <w:ind w:left="567" w:right="-143"/>
        <w:jc w:val="both"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Arial"/>
          <w:lang w:bidi="ar-SA"/>
        </w:rPr>
        <w:t xml:space="preserve">. </w:t>
      </w:r>
    </w:p>
    <w:p w14:paraId="10711712" w14:textId="77777777" w:rsidR="00150D46" w:rsidRPr="00851369" w:rsidRDefault="00150D46" w:rsidP="00150D46">
      <w:pPr>
        <w:widowControl/>
        <w:spacing w:line="360" w:lineRule="auto"/>
        <w:ind w:right="-143"/>
        <w:jc w:val="both"/>
        <w:rPr>
          <w:rFonts w:ascii="Garamond" w:eastAsia="Times New Roman" w:hAnsi="Garamond" w:cs="Times New Roman"/>
          <w:b/>
          <w:i/>
          <w:color w:val="auto"/>
          <w:lang w:bidi="ar-SA"/>
        </w:rPr>
      </w:pPr>
      <w:r w:rsidRPr="00851369">
        <w:rPr>
          <w:rFonts w:ascii="Garamond" w:eastAsia="Times New Roman" w:hAnsi="Garamond" w:cs="Times New Roman"/>
          <w:b/>
          <w:i/>
          <w:color w:val="auto"/>
          <w:lang w:bidi="ar-SA"/>
        </w:rPr>
        <w:tab/>
        <w:t xml:space="preserve">Parametry techniczne elastycznych paneli </w:t>
      </w:r>
      <w:proofErr w:type="spellStart"/>
      <w:r w:rsidRPr="00851369">
        <w:rPr>
          <w:rFonts w:ascii="Garamond" w:eastAsia="Times New Roman" w:hAnsi="Garamond" w:cs="Times New Roman"/>
          <w:b/>
          <w:i/>
          <w:color w:val="auto"/>
          <w:lang w:bidi="ar-SA"/>
        </w:rPr>
        <w:t>lvt</w:t>
      </w:r>
      <w:proofErr w:type="spellEnd"/>
      <w:r w:rsidRPr="00851369">
        <w:rPr>
          <w:rFonts w:ascii="Garamond" w:eastAsia="Times New Roman" w:hAnsi="Garamond" w:cs="Times New Roman"/>
          <w:b/>
          <w:i/>
          <w:color w:val="auto"/>
          <w:lang w:bidi="ar-SA"/>
        </w:rPr>
        <w:t>:</w:t>
      </w:r>
    </w:p>
    <w:p w14:paraId="5D8EB5A0" w14:textId="77777777" w:rsidR="00150D46" w:rsidRPr="00851369" w:rsidRDefault="00150D46" w:rsidP="00150D46">
      <w:pPr>
        <w:widowControl/>
        <w:autoSpaceDE w:val="0"/>
        <w:autoSpaceDN w:val="0"/>
        <w:spacing w:line="360" w:lineRule="auto"/>
        <w:ind w:left="720"/>
        <w:contextualSpacing/>
        <w:jc w:val="both"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Heterogeniczne, elastyczne panele podłogowe LVT o wysokiej wytrzymałości,  naturalnie odzwierciedlające drewno lub kamień. Format paneli kształtem musi przypominać deski  o rozmiarze np. min. 1219,2 x 184,15 mm oraz płytki o rozmiarze np. min. 304,8 x 609,6 mm. Wysoki parametr antypoślizgowy R10 pozwala na zastosowanie paneli w budynkach użyteczności publicznej np. teatry, kawiarnie, restauracje, budynki służby zdrowia itp. Panele powinny posiadać </w:t>
      </w:r>
      <w:proofErr w:type="spellStart"/>
      <w:r w:rsidRPr="00851369">
        <w:rPr>
          <w:rFonts w:ascii="Garamond" w:eastAsia="Times New Roman" w:hAnsi="Garamond" w:cs="Times New Roman"/>
          <w:color w:val="auto"/>
          <w:lang w:bidi="ar-SA"/>
        </w:rPr>
        <w:t>minifazkę</w:t>
      </w:r>
      <w:proofErr w:type="spellEnd"/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 (V-fugę), aby jak najbardziej przypominały naturalną podłogę.</w:t>
      </w:r>
    </w:p>
    <w:p w14:paraId="46DA9BC8" w14:textId="77777777" w:rsidR="00150D46" w:rsidRPr="00851369" w:rsidRDefault="00150D46" w:rsidP="00150D46">
      <w:pPr>
        <w:widowControl/>
        <w:autoSpaceDE w:val="0"/>
        <w:autoSpaceDN w:val="0"/>
        <w:spacing w:line="360" w:lineRule="auto"/>
        <w:ind w:left="720"/>
        <w:contextualSpacing/>
        <w:jc w:val="both"/>
        <w:rPr>
          <w:rFonts w:ascii="Garamond" w:eastAsia="Times New Roman" w:hAnsi="Garamond" w:cs="Times New Roman"/>
          <w:color w:val="auto"/>
          <w:lang w:bidi="ar-SA"/>
        </w:rPr>
      </w:pPr>
    </w:p>
    <w:p w14:paraId="4B972DA2" w14:textId="77777777" w:rsidR="00150D46" w:rsidRPr="00851369" w:rsidRDefault="00150D46" w:rsidP="00150D46">
      <w:pPr>
        <w:widowControl/>
        <w:numPr>
          <w:ilvl w:val="0"/>
          <w:numId w:val="66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>Grubość całkowita wg EN 24346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min. 3.0 mm</w:t>
      </w:r>
    </w:p>
    <w:p w14:paraId="01BE81DD" w14:textId="77777777" w:rsidR="00150D46" w:rsidRPr="00851369" w:rsidRDefault="00150D46" w:rsidP="00150D46">
      <w:pPr>
        <w:widowControl/>
        <w:numPr>
          <w:ilvl w:val="0"/>
          <w:numId w:val="66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>Grubość warstwy ścieralnej wg EN 24340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min. 0.8 mm</w:t>
      </w:r>
    </w:p>
    <w:p w14:paraId="04889EE1" w14:textId="77777777" w:rsidR="00150D46" w:rsidRPr="00851369" w:rsidRDefault="00150D46" w:rsidP="00150D46">
      <w:pPr>
        <w:widowControl/>
        <w:numPr>
          <w:ilvl w:val="0"/>
          <w:numId w:val="66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>Waga całkowita wg EN 23997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min. 5400 g/m²</w:t>
      </w:r>
    </w:p>
    <w:p w14:paraId="0843DBEF" w14:textId="77777777" w:rsidR="00150D46" w:rsidRPr="00851369" w:rsidRDefault="00150D46" w:rsidP="00150D46">
      <w:pPr>
        <w:widowControl/>
        <w:numPr>
          <w:ilvl w:val="0"/>
          <w:numId w:val="66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Klasa użytkowa wg EN 10874 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- 23/33/43</w:t>
      </w:r>
    </w:p>
    <w:p w14:paraId="2E592127" w14:textId="77777777" w:rsidR="00150D46" w:rsidRPr="00851369" w:rsidRDefault="00150D46" w:rsidP="00150D46">
      <w:pPr>
        <w:widowControl/>
        <w:numPr>
          <w:ilvl w:val="0"/>
          <w:numId w:val="66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Stabilność wymiarowa wg EN 23999 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 xml:space="preserve">- ≤ 0.05 %  </w:t>
      </w:r>
    </w:p>
    <w:p w14:paraId="2C59AEBD" w14:textId="77777777" w:rsidR="00150D46" w:rsidRPr="00851369" w:rsidRDefault="00150D46" w:rsidP="00150D46">
      <w:pPr>
        <w:widowControl/>
        <w:numPr>
          <w:ilvl w:val="0"/>
          <w:numId w:val="66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>Prostokątność i prostoliniowość wg EN 24342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≤ 0.05 mm</w:t>
      </w:r>
    </w:p>
    <w:p w14:paraId="079145E1" w14:textId="77777777" w:rsidR="00150D46" w:rsidRPr="00851369" w:rsidRDefault="00150D46" w:rsidP="00150D46">
      <w:pPr>
        <w:widowControl/>
        <w:numPr>
          <w:ilvl w:val="0"/>
          <w:numId w:val="66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>Wgniecenia resztkowe wg EN 24343-1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max 0.03 mm</w:t>
      </w:r>
    </w:p>
    <w:p w14:paraId="6B328B92" w14:textId="77777777" w:rsidR="00150D46" w:rsidRPr="00851369" w:rsidRDefault="00150D46" w:rsidP="00150D46">
      <w:pPr>
        <w:widowControl/>
        <w:numPr>
          <w:ilvl w:val="0"/>
          <w:numId w:val="66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Odporność chemiczna wg EN 423 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 xml:space="preserve">- min. Klasa 0 – </w:t>
      </w:r>
      <w:proofErr w:type="spellStart"/>
      <w:r w:rsidRPr="00851369">
        <w:rPr>
          <w:rFonts w:ascii="Garamond" w:eastAsia="Times New Roman" w:hAnsi="Garamond" w:cs="Times New Roman"/>
          <w:color w:val="auto"/>
          <w:lang w:bidi="ar-SA"/>
        </w:rPr>
        <w:t>Excellent</w:t>
      </w:r>
      <w:proofErr w:type="spellEnd"/>
    </w:p>
    <w:p w14:paraId="0D216125" w14:textId="77777777" w:rsidR="00150D46" w:rsidRPr="00851369" w:rsidRDefault="00150D46" w:rsidP="00150D46">
      <w:pPr>
        <w:widowControl/>
        <w:numPr>
          <w:ilvl w:val="0"/>
          <w:numId w:val="66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>Odporność na poślizg wg EN 13036-4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 xml:space="preserve">- PTV warunki suche </w:t>
      </w:r>
      <w:r w:rsidRPr="00851369">
        <w:rPr>
          <w:rFonts w:ascii="Garamond" w:eastAsia="Times New Roman" w:hAnsi="Garamond" w:cs="Arial"/>
          <w:color w:val="auto"/>
          <w:lang w:bidi="ar-SA"/>
        </w:rPr>
        <w:t>≥</w:t>
      </w: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 100</w:t>
      </w:r>
    </w:p>
    <w:p w14:paraId="54987AB8" w14:textId="77777777" w:rsidR="00150D46" w:rsidRPr="00851369" w:rsidRDefault="00150D46" w:rsidP="00150D46">
      <w:pPr>
        <w:widowControl/>
        <w:autoSpaceDE w:val="0"/>
        <w:autoSpaceDN w:val="0"/>
        <w:spacing w:line="360" w:lineRule="auto"/>
        <w:ind w:left="6372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- PTV warunki mokre </w:t>
      </w:r>
      <w:r w:rsidRPr="00851369">
        <w:rPr>
          <w:rFonts w:ascii="Garamond" w:eastAsia="Times New Roman" w:hAnsi="Garamond" w:cs="Arial"/>
          <w:color w:val="auto"/>
          <w:lang w:bidi="ar-SA"/>
        </w:rPr>
        <w:t>≥</w:t>
      </w: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 40</w:t>
      </w:r>
    </w:p>
    <w:p w14:paraId="78A8BA1C" w14:textId="77777777" w:rsidR="00150D46" w:rsidRPr="00851369" w:rsidRDefault="00150D46" w:rsidP="00150D46">
      <w:pPr>
        <w:widowControl/>
        <w:numPr>
          <w:ilvl w:val="0"/>
          <w:numId w:val="66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>Dynamiczny współczynnik tarcia wg EN 13893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 xml:space="preserve">- </w:t>
      </w:r>
      <w:r w:rsidRPr="00851369">
        <w:rPr>
          <w:rFonts w:ascii="Garamond" w:eastAsia="Times New Roman" w:hAnsi="Garamond" w:cs="Arial"/>
          <w:color w:val="auto"/>
          <w:lang w:bidi="ar-SA"/>
        </w:rPr>
        <w:t>min. μ = 0,51</w:t>
      </w:r>
    </w:p>
    <w:p w14:paraId="7BF8B922" w14:textId="77777777" w:rsidR="00150D46" w:rsidRPr="00851369" w:rsidRDefault="00150D46" w:rsidP="00150D46">
      <w:pPr>
        <w:widowControl/>
        <w:numPr>
          <w:ilvl w:val="0"/>
          <w:numId w:val="66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Klasa ścieralności wg EN 660-1 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min. Grupa T</w:t>
      </w:r>
    </w:p>
    <w:p w14:paraId="0FE33C06" w14:textId="77777777" w:rsidR="00150D46" w:rsidRPr="00851369" w:rsidRDefault="00150D46" w:rsidP="00150D46">
      <w:pPr>
        <w:widowControl/>
        <w:numPr>
          <w:ilvl w:val="0"/>
          <w:numId w:val="66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Trwałość  koloru  ISO 105-B02 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min. 6</w:t>
      </w:r>
    </w:p>
    <w:p w14:paraId="1B827099" w14:textId="77777777" w:rsidR="00150D46" w:rsidRPr="00851369" w:rsidRDefault="00150D46" w:rsidP="00150D46">
      <w:pPr>
        <w:widowControl/>
        <w:numPr>
          <w:ilvl w:val="0"/>
          <w:numId w:val="66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>Emisja TVOC po 28 dniach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klasa A+</w:t>
      </w:r>
    </w:p>
    <w:p w14:paraId="76265CD2" w14:textId="77777777" w:rsidR="00150D46" w:rsidRPr="00851369" w:rsidRDefault="00150D46" w:rsidP="00150D46">
      <w:pPr>
        <w:widowControl/>
        <w:autoSpaceDE w:val="0"/>
        <w:autoSpaceDN w:val="0"/>
        <w:spacing w:line="360" w:lineRule="auto"/>
        <w:ind w:left="720"/>
        <w:contextualSpacing/>
        <w:rPr>
          <w:rFonts w:ascii="Garamond" w:eastAsia="Times New Roman" w:hAnsi="Garamond" w:cs="Times New Roman"/>
          <w:color w:val="auto"/>
          <w:lang w:bidi="ar-SA"/>
        </w:rPr>
      </w:pPr>
    </w:p>
    <w:p w14:paraId="38C3C9D1" w14:textId="77777777" w:rsidR="00150D46" w:rsidRPr="00150D46" w:rsidRDefault="00150D46" w:rsidP="00150D46">
      <w:pPr>
        <w:widowControl/>
        <w:autoSpaceDE w:val="0"/>
        <w:autoSpaceDN w:val="0"/>
        <w:spacing w:line="360" w:lineRule="auto"/>
        <w:ind w:left="720"/>
        <w:contextualSpacing/>
        <w:jc w:val="both"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lastRenderedPageBreak/>
        <w:t xml:space="preserve">Panele </w:t>
      </w:r>
      <w:proofErr w:type="spellStart"/>
      <w:r w:rsidRPr="00851369">
        <w:rPr>
          <w:rFonts w:ascii="Garamond" w:eastAsia="Times New Roman" w:hAnsi="Garamond" w:cs="Times New Roman"/>
          <w:color w:val="auto"/>
          <w:lang w:bidi="ar-SA"/>
        </w:rPr>
        <w:t>lvt</w:t>
      </w:r>
      <w:proofErr w:type="spellEnd"/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 powinny być odporne na meble z kółkami wg EN 425 oraz muszą posiadać odpowiednią klasę palności w budynkach użyteczności publicznej wg EN 13501-1 tj. Bfl-s1. Dodatkowo warstwa wierzchnia powinna być dwukrotnie pokryta powłoką UV.</w:t>
      </w:r>
    </w:p>
    <w:p w14:paraId="4A22358F" w14:textId="77777777" w:rsidR="00150D46" w:rsidRPr="00150D46" w:rsidRDefault="00150D46" w:rsidP="00150D46">
      <w:pPr>
        <w:widowControl/>
        <w:autoSpaceDE w:val="0"/>
        <w:autoSpaceDN w:val="0"/>
        <w:spacing w:line="360" w:lineRule="auto"/>
        <w:ind w:left="720"/>
        <w:contextualSpacing/>
        <w:jc w:val="both"/>
        <w:rPr>
          <w:rFonts w:ascii="Garamond" w:eastAsia="Times New Roman" w:hAnsi="Garamond" w:cs="Times New Roman"/>
          <w:color w:val="auto"/>
          <w:lang w:bidi="ar-SA"/>
        </w:rPr>
      </w:pPr>
    </w:p>
    <w:p w14:paraId="1D6D989A" w14:textId="77777777" w:rsidR="00150D46" w:rsidRPr="00150D46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108403C5" w14:textId="77777777" w:rsidR="00150D46" w:rsidRPr="00150D46" w:rsidRDefault="00150D46" w:rsidP="00150D46">
      <w:pPr>
        <w:widowControl/>
        <w:rPr>
          <w:rFonts w:ascii="Garamond" w:eastAsia="Times New Roman" w:hAnsi="Garamond" w:cs="Times New Roman"/>
          <w:color w:val="auto"/>
          <w:lang w:bidi="ar-SA"/>
        </w:rPr>
      </w:pPr>
    </w:p>
    <w:p w14:paraId="33915C68" w14:textId="77777777" w:rsidR="00150D46" w:rsidRPr="00150D46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b/>
          <w:bCs/>
          <w:color w:val="auto"/>
          <w:lang w:eastAsia="en-US" w:bidi="ar-SA"/>
        </w:rPr>
        <w:t>Szczegółowy opis przedmiotu zamówienia został opisany w załączonym Przedmiarze robót.</w:t>
      </w:r>
    </w:p>
    <w:p w14:paraId="6A92D254" w14:textId="77777777" w:rsidR="00150D46" w:rsidRPr="00150D46" w:rsidRDefault="00150D46" w:rsidP="00150D46">
      <w:pPr>
        <w:widowControl/>
        <w:numPr>
          <w:ilvl w:val="0"/>
          <w:numId w:val="65"/>
        </w:numPr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Roboty budowlane objęte zamówieniem będą wykonywane w czynnym obiekcie sądowym. Roboty w pokojach biurowych oraz prace powodujące hałas, należy prowadzić w dni wolne od pracy oraz po godzinach pracy sądu, tj. w poniedziałki po godz. 18:00, wtorki – piątki po godz. 16.00. Teren robót należy odpowiednio zabezpieczyć, wygrodzić i oznakować. W pokojach biurowych roboty będą prowadzone po wcześniejszym uzgodnieniu z użytkownikiem pomieszczeń. </w:t>
      </w:r>
    </w:p>
    <w:p w14:paraId="1D9BC479" w14:textId="77777777" w:rsidR="00150D46" w:rsidRPr="00150D46" w:rsidRDefault="00150D46" w:rsidP="00150D46">
      <w:pPr>
        <w:widowControl/>
        <w:numPr>
          <w:ilvl w:val="0"/>
          <w:numId w:val="65"/>
        </w:numPr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Zalecane jest dokonanie wizji lokalnej, w celu sprawdzenia warunków dotyczących wykonania robót remontowych, będących przedmiotem zamówienia. Zamawiający wyklucza ewentualną możliwość roszczeń oferenta z tytułu błędnego skalkulowania wyceny bądź pominięcia elementów niezbędnych do wykonania przedmiotu zmówienia. </w:t>
      </w:r>
    </w:p>
    <w:p w14:paraId="7BCD1545" w14:textId="77777777" w:rsidR="00150D46" w:rsidRPr="00150D46" w:rsidRDefault="00150D46" w:rsidP="00150D46">
      <w:pPr>
        <w:widowControl/>
        <w:numPr>
          <w:ilvl w:val="0"/>
          <w:numId w:val="65"/>
        </w:numPr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Wszelkie roboty, które nie zostaną przewidziane na etapie sporządzenia oferty, a konieczne do wykonania lub wynikające z ustawy Prawo budowlane, warunków technicznych – stanowią element ryzyka i zostaną wykonane na koszt Wykonawcy. Cena ofertowa jest ryczałtową i wobec tego winna zawierać wszystkie koszty wykonania przedmiotu zamówienia, konieczne do wykonania przedmiotu zamówienia. </w:t>
      </w:r>
    </w:p>
    <w:p w14:paraId="05B5E491" w14:textId="77777777" w:rsidR="00150D46" w:rsidRPr="00150D46" w:rsidRDefault="00150D46" w:rsidP="00150D46">
      <w:pPr>
        <w:widowControl/>
        <w:numPr>
          <w:ilvl w:val="0"/>
          <w:numId w:val="65"/>
        </w:numPr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Zamawiający nie przewiduje możliwości udzielania zaliczek na poczet wykonania zamówienia. </w:t>
      </w:r>
    </w:p>
    <w:p w14:paraId="2E0E42C1" w14:textId="1D4DC595" w:rsidR="00150D46" w:rsidRPr="00150D46" w:rsidRDefault="00150D46" w:rsidP="00150D46">
      <w:pPr>
        <w:widowControl/>
        <w:numPr>
          <w:ilvl w:val="0"/>
          <w:numId w:val="65"/>
        </w:numPr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Powstałe podczas prowadzenia robót odpady zagospodaruje Wykonawca. Utylizację należy przeprowadzić zgodnie z przepisami ustawy z dnia 14 grudnia 2012 r. o odpadach (</w:t>
      </w:r>
      <w:proofErr w:type="spellStart"/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t.j</w:t>
      </w:r>
      <w:proofErr w:type="spellEnd"/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. Dz. U. z</w:t>
      </w:r>
      <w:r w:rsidR="00726393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2023 r. poz. 1587 ze zmianami) i jej koszt uwzględnić w cenie ofertowej. </w:t>
      </w:r>
    </w:p>
    <w:p w14:paraId="7423A2CD" w14:textId="77777777" w:rsidR="00150D46" w:rsidRPr="00150D46" w:rsidRDefault="00150D46" w:rsidP="00150D46">
      <w:pPr>
        <w:widowControl/>
        <w:numPr>
          <w:ilvl w:val="0"/>
          <w:numId w:val="65"/>
        </w:numPr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Zamawiający wymaga udzielenia przez Wykonawcę min. 3 letniej gwarancji na wykonane roboty i wbudowane materiały. </w:t>
      </w:r>
    </w:p>
    <w:p w14:paraId="162997A0" w14:textId="1C942E7F" w:rsidR="00150D46" w:rsidRPr="00150D46" w:rsidRDefault="00150D46" w:rsidP="00150D46">
      <w:pPr>
        <w:widowControl/>
        <w:numPr>
          <w:ilvl w:val="0"/>
          <w:numId w:val="65"/>
        </w:numPr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Na Wykonawcy spoczywa obowiązek sporządzenia dokumentacji powykonawczej</w:t>
      </w:r>
      <w:r w:rsidR="00726393">
        <w:rPr>
          <w:rFonts w:ascii="Garamond" w:eastAsiaTheme="minorHAnsi" w:hAnsi="Garamond" w:cs="Times New Roman"/>
          <w:color w:val="auto"/>
          <w:lang w:eastAsia="en-US" w:bidi="ar-SA"/>
        </w:rPr>
        <w:t xml:space="preserve"> 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w</w:t>
      </w:r>
      <w:r w:rsidR="00726393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3</w:t>
      </w:r>
      <w:r w:rsidR="00726393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egzemplarzach w formie papierowej i elektronicznej. </w:t>
      </w:r>
    </w:p>
    <w:p w14:paraId="54AA800F" w14:textId="77777777" w:rsidR="00150D46" w:rsidRPr="00150D46" w:rsidRDefault="00150D46" w:rsidP="00150D46">
      <w:pPr>
        <w:widowControl/>
        <w:numPr>
          <w:ilvl w:val="0"/>
          <w:numId w:val="65"/>
        </w:numPr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Przekazanie placu budowy </w:t>
      </w:r>
      <w:r w:rsidRPr="00851369">
        <w:rPr>
          <w:rFonts w:ascii="Garamond" w:eastAsiaTheme="minorHAnsi" w:hAnsi="Garamond" w:cs="Times New Roman"/>
          <w:color w:val="auto"/>
          <w:lang w:eastAsia="en-US" w:bidi="ar-SA"/>
        </w:rPr>
        <w:t>nastąpi w terminie 2 dni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 od daty zawarcia umowy.</w:t>
      </w:r>
    </w:p>
    <w:p w14:paraId="2BFF9C5D" w14:textId="5720BFFA" w:rsidR="00150D46" w:rsidRPr="00150D46" w:rsidRDefault="00150D46" w:rsidP="00150D46">
      <w:pPr>
        <w:widowControl/>
        <w:numPr>
          <w:ilvl w:val="0"/>
          <w:numId w:val="65"/>
        </w:numPr>
        <w:tabs>
          <w:tab w:val="left" w:pos="284"/>
        </w:tabs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Obowiązek zatrudnienia na umowę o pracę: Zamawiający, w związku z treścią art. 95 ust. 1 ustawy, informuje, że wymaga aby osoby wykonujące prace fizyczne w zakresie realizacji przedmiotu zamówienia były zatrudnione przez Wykonawcę lub Podwykonawcę na podstawie umowy o pracę, gdyż wykonanie tych czynności polega na wykonywaniu pracy w sposób określony w art. 22 § 1 ustawy z dnia 26 czerwca 1974 r. – Kodeks pracy (tekst jednolity: Dz. U. z 202</w:t>
      </w:r>
      <w:r>
        <w:rPr>
          <w:rFonts w:ascii="Garamond" w:eastAsiaTheme="minorHAnsi" w:hAnsi="Garamond" w:cs="Times New Roman"/>
          <w:color w:val="auto"/>
          <w:lang w:eastAsia="en-US" w:bidi="ar-SA"/>
        </w:rPr>
        <w:t>5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 r. poz. </w:t>
      </w:r>
      <w:r>
        <w:rPr>
          <w:rFonts w:ascii="Garamond" w:eastAsiaTheme="minorHAnsi" w:hAnsi="Garamond" w:cs="Times New Roman"/>
          <w:color w:val="auto"/>
          <w:lang w:eastAsia="en-US" w:bidi="ar-SA"/>
        </w:rPr>
        <w:t>277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 ze zm.). Zamawiający wymaga, aby Wykonawca w trakcie realizacji zamówienia stosował przepisy wynikające z aktualnych aktów wykonawczych do ustawy z dnia 10 października 2002 r. o minimalnym wynagrodzeniu za pracę (</w:t>
      </w:r>
      <w:proofErr w:type="spellStart"/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t.j</w:t>
      </w:r>
      <w:proofErr w:type="spellEnd"/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. Dz. U. z 202</w:t>
      </w:r>
      <w:r>
        <w:rPr>
          <w:rFonts w:ascii="Garamond" w:eastAsiaTheme="minorHAnsi" w:hAnsi="Garamond" w:cs="Times New Roman"/>
          <w:color w:val="auto"/>
          <w:lang w:eastAsia="en-US" w:bidi="ar-SA"/>
        </w:rPr>
        <w:t>4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 r. poz. </w:t>
      </w:r>
      <w:r>
        <w:rPr>
          <w:rFonts w:ascii="Garamond" w:eastAsiaTheme="minorHAnsi" w:hAnsi="Garamond" w:cs="Times New Roman"/>
          <w:color w:val="auto"/>
          <w:lang w:eastAsia="en-US" w:bidi="ar-SA"/>
        </w:rPr>
        <w:t>1773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), w</w:t>
      </w:r>
      <w:r w:rsidR="00726393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zakresie minimalnego wynagrodzenia za pracę. Uprawnienia Zamawiającego w zakresie 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lastRenderedPageBreak/>
        <w:t xml:space="preserve">kontroli spełniania przez Wykonawcę wymagań, o których mowa powyżej - zgodnie z art. 438 ustawy </w:t>
      </w:r>
      <w:proofErr w:type="spellStart"/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Pzp</w:t>
      </w:r>
      <w:proofErr w:type="spellEnd"/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. </w:t>
      </w:r>
    </w:p>
    <w:p w14:paraId="081E5842" w14:textId="304F2C20" w:rsidR="00150D46" w:rsidRPr="00150D46" w:rsidRDefault="00150D46" w:rsidP="00150D46">
      <w:pPr>
        <w:widowControl/>
        <w:numPr>
          <w:ilvl w:val="0"/>
          <w:numId w:val="65"/>
        </w:numPr>
        <w:tabs>
          <w:tab w:val="left" w:pos="284"/>
        </w:tabs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Wizja miejsca objętego przedmiotem zamówienia: Zamawiający zaprasza wszystkich zainteresowanych Wykonawców do dokonania wizji lokalnej miejsca objętego zakresem zamówienia przy ul. </w:t>
      </w:r>
      <w:r w:rsidRPr="00402377">
        <w:rPr>
          <w:rFonts w:ascii="Garamond" w:eastAsiaTheme="minorHAnsi" w:hAnsi="Garamond" w:cs="Times New Roman"/>
          <w:color w:val="auto"/>
          <w:lang w:eastAsia="en-US" w:bidi="ar-SA"/>
        </w:rPr>
        <w:t>Czerniakowskiej 100</w:t>
      </w:r>
      <w:r w:rsidR="00837B3D" w:rsidRPr="00402377">
        <w:rPr>
          <w:rFonts w:ascii="Garamond" w:eastAsiaTheme="minorHAnsi" w:hAnsi="Garamond" w:cs="Times New Roman"/>
          <w:color w:val="auto"/>
          <w:lang w:eastAsia="en-US" w:bidi="ar-SA"/>
        </w:rPr>
        <w:t xml:space="preserve">A </w:t>
      </w:r>
      <w:r w:rsidRPr="00402377">
        <w:rPr>
          <w:rFonts w:ascii="Garamond" w:eastAsiaTheme="minorHAnsi" w:hAnsi="Garamond" w:cs="Times New Roman"/>
          <w:color w:val="auto"/>
          <w:lang w:eastAsia="en-US" w:bidi="ar-SA"/>
        </w:rPr>
        <w:t xml:space="preserve">w Warszawie, która w przypadku zainteresowania jej odbyciem, planowana jest w dniu </w:t>
      </w:r>
      <w:r w:rsidR="00402377" w:rsidRPr="00402377">
        <w:rPr>
          <w:rFonts w:ascii="Garamond" w:eastAsiaTheme="minorHAnsi" w:hAnsi="Garamond" w:cs="Times New Roman"/>
          <w:color w:val="auto"/>
          <w:lang w:eastAsia="en-US" w:bidi="ar-SA"/>
        </w:rPr>
        <w:t>11 sierpnia</w:t>
      </w:r>
      <w:r w:rsidRPr="00402377">
        <w:rPr>
          <w:rFonts w:ascii="Garamond" w:eastAsiaTheme="minorHAnsi" w:hAnsi="Garamond" w:cs="Times New Roman"/>
          <w:color w:val="auto"/>
          <w:lang w:eastAsia="en-US" w:bidi="ar-SA"/>
        </w:rPr>
        <w:t xml:space="preserve"> 202</w:t>
      </w:r>
      <w:r w:rsidR="00851369" w:rsidRPr="00402377">
        <w:rPr>
          <w:rFonts w:ascii="Garamond" w:eastAsiaTheme="minorHAnsi" w:hAnsi="Garamond" w:cs="Times New Roman"/>
          <w:color w:val="auto"/>
          <w:lang w:eastAsia="en-US" w:bidi="ar-SA"/>
        </w:rPr>
        <w:t>6</w:t>
      </w:r>
      <w:r w:rsidRPr="00402377">
        <w:rPr>
          <w:rFonts w:ascii="Garamond" w:eastAsiaTheme="minorHAnsi" w:hAnsi="Garamond" w:cs="Times New Roman"/>
          <w:color w:val="auto"/>
          <w:lang w:eastAsia="en-US" w:bidi="ar-SA"/>
        </w:rPr>
        <w:t xml:space="preserve"> r., o godzinie 10:</w:t>
      </w:r>
      <w:r w:rsidR="00402377" w:rsidRPr="00402377">
        <w:rPr>
          <w:rFonts w:ascii="Garamond" w:eastAsiaTheme="minorHAnsi" w:hAnsi="Garamond" w:cs="Times New Roman"/>
          <w:color w:val="auto"/>
          <w:lang w:eastAsia="en-US" w:bidi="ar-SA"/>
        </w:rPr>
        <w:t>3</w:t>
      </w:r>
      <w:r w:rsidRPr="00402377">
        <w:rPr>
          <w:rFonts w:ascii="Garamond" w:eastAsiaTheme="minorHAnsi" w:hAnsi="Garamond" w:cs="Times New Roman"/>
          <w:color w:val="auto"/>
          <w:lang w:eastAsia="en-US" w:bidi="ar-SA"/>
        </w:rPr>
        <w:t xml:space="preserve">0. Spotkanie w pokoju 442 budynku przy ul. </w:t>
      </w:r>
      <w:r w:rsidRPr="00402377">
        <w:rPr>
          <w:rFonts w:ascii="Garamond" w:eastAsiaTheme="minorHAnsi" w:hAnsi="Garamond" w:cs="Times New Roman"/>
          <w:b/>
          <w:bCs/>
          <w:color w:val="auto"/>
          <w:lang w:eastAsia="en-US" w:bidi="ar-SA"/>
        </w:rPr>
        <w:t>Czerniakowskiej 100A</w:t>
      </w:r>
      <w:r w:rsidRPr="00402377">
        <w:rPr>
          <w:rFonts w:ascii="Garamond" w:eastAsiaTheme="minorHAnsi" w:hAnsi="Garamond" w:cs="Times New Roman"/>
          <w:color w:val="auto"/>
          <w:lang w:eastAsia="en-US" w:bidi="ar-SA"/>
        </w:rPr>
        <w:t xml:space="preserve"> w Warszawie. Wizja zostanie przeprowadzona w</w:t>
      </w:r>
      <w:r w:rsidR="00726393" w:rsidRPr="00402377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402377">
        <w:rPr>
          <w:rFonts w:ascii="Garamond" w:eastAsiaTheme="minorHAnsi" w:hAnsi="Garamond" w:cs="Times New Roman"/>
          <w:color w:val="auto"/>
          <w:lang w:eastAsia="en-US" w:bidi="ar-SA"/>
        </w:rPr>
        <w:t xml:space="preserve">obecności przedstawiciela Zamawiającego. Osoby zainteresowane wzięciem udziału w wizji, proszone są o zgłoszenie uczestnictwa najpóźniej do dnia </w:t>
      </w:r>
      <w:r w:rsidR="00402377" w:rsidRPr="00402377">
        <w:rPr>
          <w:rFonts w:ascii="Garamond" w:eastAsiaTheme="minorHAnsi" w:hAnsi="Garamond" w:cs="Times New Roman"/>
          <w:color w:val="auto"/>
          <w:lang w:eastAsia="en-US" w:bidi="ar-SA"/>
        </w:rPr>
        <w:t>10 sierpnia</w:t>
      </w:r>
      <w:r w:rsidR="003B019A" w:rsidRPr="00402377">
        <w:rPr>
          <w:rFonts w:ascii="Garamond" w:eastAsiaTheme="minorHAnsi" w:hAnsi="Garamond" w:cs="Times New Roman"/>
          <w:color w:val="auto"/>
          <w:lang w:eastAsia="en-US" w:bidi="ar-SA"/>
        </w:rPr>
        <w:t xml:space="preserve"> </w:t>
      </w:r>
      <w:r w:rsidRPr="00402377">
        <w:rPr>
          <w:rFonts w:ascii="Garamond" w:eastAsiaTheme="minorHAnsi" w:hAnsi="Garamond" w:cs="Times New Roman"/>
          <w:color w:val="auto"/>
          <w:lang w:eastAsia="en-US" w:bidi="ar-SA"/>
        </w:rPr>
        <w:t>202</w:t>
      </w:r>
      <w:r w:rsidR="00851369" w:rsidRPr="00402377">
        <w:rPr>
          <w:rFonts w:ascii="Garamond" w:eastAsiaTheme="minorHAnsi" w:hAnsi="Garamond" w:cs="Times New Roman"/>
          <w:color w:val="auto"/>
          <w:lang w:eastAsia="en-US" w:bidi="ar-SA"/>
        </w:rPr>
        <w:t xml:space="preserve">6 </w:t>
      </w:r>
      <w:r w:rsidRPr="00402377">
        <w:rPr>
          <w:rFonts w:ascii="Garamond" w:eastAsiaTheme="minorHAnsi" w:hAnsi="Garamond" w:cs="Times New Roman"/>
          <w:color w:val="auto"/>
          <w:lang w:eastAsia="en-US" w:bidi="ar-SA"/>
        </w:rPr>
        <w:t xml:space="preserve">r. do godz. </w:t>
      </w:r>
      <w:r w:rsidR="003B019A" w:rsidRPr="00402377">
        <w:rPr>
          <w:rFonts w:ascii="Garamond" w:eastAsiaTheme="minorHAnsi" w:hAnsi="Garamond" w:cs="Times New Roman"/>
          <w:color w:val="auto"/>
          <w:lang w:eastAsia="en-US" w:bidi="ar-SA"/>
        </w:rPr>
        <w:t>14</w:t>
      </w:r>
      <w:r w:rsidRPr="00402377">
        <w:rPr>
          <w:rFonts w:ascii="Garamond" w:eastAsiaTheme="minorHAnsi" w:hAnsi="Garamond" w:cs="Times New Roman"/>
          <w:color w:val="auto"/>
          <w:lang w:eastAsia="en-US" w:bidi="ar-SA"/>
        </w:rPr>
        <w:t>:00 na</w:t>
      </w:r>
      <w:r>
        <w:rPr>
          <w:rFonts w:ascii="Garamond" w:eastAsiaTheme="minorHAnsi" w:hAnsi="Garamond" w:cs="Times New Roman"/>
          <w:color w:val="auto"/>
          <w:lang w:eastAsia="en-US" w:bidi="ar-SA"/>
        </w:rPr>
        <w:t xml:space="preserve"> adres mailowy </w:t>
      </w:r>
      <w:hyperlink r:id="rId7" w:history="1">
        <w:r w:rsidRPr="006B7EC9">
          <w:rPr>
            <w:rFonts w:ascii="Garamond" w:eastAsia="Andale Sans UI" w:hAnsi="Garamond" w:cs="Times New Roman"/>
            <w:color w:val="0563C1" w:themeColor="hyperlink"/>
            <w:kern w:val="3"/>
            <w:u w:val="single"/>
            <w:lang w:bidi="ar-SA"/>
          </w:rPr>
          <w:t>zamowienia.publiczne@warszawa.sr.gov.pl</w:t>
        </w:r>
      </w:hyperlink>
      <w:r>
        <w:t xml:space="preserve">. 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W przypadku braku zgłoszeń uczestnictwa, wizja nie odbędzie się. Udział w wizji lokalnej jest obowiązkowy, a zatem będą miały zastosowania postanowienia art. 226 ust. 1 pkt 18 ustawy. </w:t>
      </w:r>
    </w:p>
    <w:p w14:paraId="0F2C7F7F" w14:textId="0F393BB4" w:rsidR="00150D46" w:rsidRPr="00150D46" w:rsidRDefault="00150D46" w:rsidP="00150D46">
      <w:pPr>
        <w:widowControl/>
        <w:numPr>
          <w:ilvl w:val="0"/>
          <w:numId w:val="65"/>
        </w:numPr>
        <w:tabs>
          <w:tab w:val="left" w:pos="284"/>
        </w:tabs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Wykonawca przed przystąpienie do prac malarskich oraz montażowych uzgodni kolorystykę ścian jak również kolorystykę użytych materiałów w tym wykładziny winylowej oraz parapetów z</w:t>
      </w:r>
      <w:r w:rsidR="00726393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konglomeratu z  Zamawiającym. </w:t>
      </w:r>
    </w:p>
    <w:p w14:paraId="3923E25C" w14:textId="77777777" w:rsidR="00150D46" w:rsidRPr="00150D46" w:rsidRDefault="00150D46" w:rsidP="00150D46">
      <w:pPr>
        <w:widowControl/>
        <w:tabs>
          <w:tab w:val="left" w:pos="284"/>
        </w:tabs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30AFB83E" w14:textId="77777777" w:rsidR="00150D46" w:rsidRPr="00150D46" w:rsidRDefault="00150D46" w:rsidP="00150D46">
      <w:pPr>
        <w:widowControl/>
        <w:tabs>
          <w:tab w:val="left" w:pos="284"/>
        </w:tabs>
        <w:spacing w:after="160" w:line="259" w:lineRule="auto"/>
        <w:ind w:left="142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603BEDAD" w14:textId="77777777" w:rsidR="00150D46" w:rsidRPr="00150D46" w:rsidRDefault="00150D46" w:rsidP="00150D46">
      <w:pPr>
        <w:widowControl/>
        <w:tabs>
          <w:tab w:val="left" w:pos="284"/>
        </w:tabs>
        <w:spacing w:after="160" w:line="259" w:lineRule="auto"/>
        <w:ind w:left="142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7619E6CD" w14:textId="77777777" w:rsidR="00150D46" w:rsidRPr="00150D46" w:rsidRDefault="00150D46" w:rsidP="00150D46">
      <w:pPr>
        <w:widowControl/>
        <w:spacing w:after="160" w:line="259" w:lineRule="auto"/>
        <w:ind w:left="-142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Załączniki: </w:t>
      </w:r>
    </w:p>
    <w:p w14:paraId="5AB84852" w14:textId="77777777" w:rsidR="00150D46" w:rsidRPr="00150D46" w:rsidRDefault="00150D46" w:rsidP="00150D46">
      <w:pPr>
        <w:widowControl/>
        <w:spacing w:after="160" w:line="259" w:lineRule="auto"/>
        <w:ind w:left="-142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1. przedmiar robót </w:t>
      </w:r>
    </w:p>
    <w:p w14:paraId="6ABB69BF" w14:textId="77777777" w:rsidR="00150D46" w:rsidRPr="00150D46" w:rsidRDefault="00150D46" w:rsidP="00150D46">
      <w:pPr>
        <w:widowControl/>
        <w:spacing w:after="160" w:line="259" w:lineRule="auto"/>
        <w:ind w:left="-142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2. BIOZ-wymagania ogólne, </w:t>
      </w:r>
    </w:p>
    <w:p w14:paraId="499DB833" w14:textId="6691C25C" w:rsidR="00525981" w:rsidRPr="00150D46" w:rsidRDefault="00525981" w:rsidP="00150D46">
      <w:pPr>
        <w:rPr>
          <w:rFonts w:ascii="Garamond" w:hAnsi="Garamond"/>
        </w:rPr>
      </w:pPr>
    </w:p>
    <w:sectPr w:rsidR="00525981" w:rsidRPr="00150D46" w:rsidSect="00A31172">
      <w:headerReference w:type="default" r:id="rId8"/>
      <w:footerReference w:type="even" r:id="rId9"/>
      <w:footerReference w:type="default" r:id="rId10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6990B" w14:textId="77777777" w:rsidR="0080508B" w:rsidRDefault="0080508B" w:rsidP="00FD44BA">
      <w:r>
        <w:separator/>
      </w:r>
    </w:p>
  </w:endnote>
  <w:endnote w:type="continuationSeparator" w:id="0">
    <w:p w14:paraId="78606FF2" w14:textId="77777777" w:rsidR="0080508B" w:rsidRDefault="0080508B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A5837" w14:textId="77777777" w:rsidR="0080508B" w:rsidRDefault="0080508B" w:rsidP="00FD44BA">
      <w:r>
        <w:separator/>
      </w:r>
    </w:p>
  </w:footnote>
  <w:footnote w:type="continuationSeparator" w:id="0">
    <w:p w14:paraId="3189926E" w14:textId="77777777" w:rsidR="0080508B" w:rsidRDefault="0080508B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9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3A8D6276"/>
    <w:multiLevelType w:val="hybridMultilevel"/>
    <w:tmpl w:val="1AD4B98C"/>
    <w:lvl w:ilvl="0" w:tplc="2E12D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5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1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2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0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2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1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6106CC"/>
    <w:multiLevelType w:val="hybridMultilevel"/>
    <w:tmpl w:val="7C74E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6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1"/>
  </w:num>
  <w:num w:numId="26" w16cid:durableId="440999655">
    <w:abstractNumId w:val="8"/>
  </w:num>
  <w:num w:numId="27" w16cid:durableId="1168060692">
    <w:abstractNumId w:val="41"/>
  </w:num>
  <w:num w:numId="28" w16cid:durableId="2145585135">
    <w:abstractNumId w:val="18"/>
  </w:num>
  <w:num w:numId="29" w16cid:durableId="589240558">
    <w:abstractNumId w:val="12"/>
  </w:num>
  <w:num w:numId="30" w16cid:durableId="1075782728">
    <w:abstractNumId w:val="16"/>
  </w:num>
  <w:num w:numId="31" w16cid:durableId="878126938">
    <w:abstractNumId w:val="43"/>
  </w:num>
  <w:num w:numId="32" w16cid:durableId="365912059">
    <w:abstractNumId w:val="55"/>
  </w:num>
  <w:num w:numId="33" w16cid:durableId="402337911">
    <w:abstractNumId w:val="23"/>
  </w:num>
  <w:num w:numId="34" w16cid:durableId="1759716648">
    <w:abstractNumId w:val="36"/>
  </w:num>
  <w:num w:numId="35" w16cid:durableId="1643071084">
    <w:abstractNumId w:val="28"/>
  </w:num>
  <w:num w:numId="36" w16cid:durableId="1132096225">
    <w:abstractNumId w:val="48"/>
  </w:num>
  <w:num w:numId="37" w16cid:durableId="1073551791">
    <w:abstractNumId w:val="61"/>
  </w:num>
  <w:num w:numId="38" w16cid:durableId="24865237">
    <w:abstractNumId w:val="14"/>
  </w:num>
  <w:num w:numId="39" w16cid:durableId="748846985">
    <w:abstractNumId w:val="47"/>
  </w:num>
  <w:num w:numId="40" w16cid:durableId="1321620482">
    <w:abstractNumId w:val="39"/>
  </w:num>
  <w:num w:numId="41" w16cid:durableId="675691848">
    <w:abstractNumId w:val="53"/>
  </w:num>
  <w:num w:numId="42" w16cid:durableId="10188568">
    <w:abstractNumId w:val="50"/>
  </w:num>
  <w:num w:numId="43" w16cid:durableId="963002635">
    <w:abstractNumId w:val="62"/>
  </w:num>
  <w:num w:numId="44" w16cid:durableId="964312233">
    <w:abstractNumId w:val="44"/>
  </w:num>
  <w:num w:numId="45" w16cid:durableId="2116709536">
    <w:abstractNumId w:val="33"/>
  </w:num>
  <w:num w:numId="46" w16cid:durableId="596913868">
    <w:abstractNumId w:val="22"/>
  </w:num>
  <w:num w:numId="47" w16cid:durableId="1136024314">
    <w:abstractNumId w:val="15"/>
  </w:num>
  <w:num w:numId="48" w16cid:durableId="1983852805">
    <w:abstractNumId w:val="66"/>
  </w:num>
  <w:num w:numId="49" w16cid:durableId="117183248">
    <w:abstractNumId w:val="32"/>
  </w:num>
  <w:num w:numId="50" w16cid:durableId="620964109">
    <w:abstractNumId w:val="5"/>
  </w:num>
  <w:num w:numId="51" w16cid:durableId="1798181830">
    <w:abstractNumId w:val="31"/>
  </w:num>
  <w:num w:numId="52" w16cid:durableId="2034568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0"/>
  </w:num>
  <w:num w:numId="54" w16cid:durableId="20128737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3"/>
  </w:num>
  <w:num w:numId="56" w16cid:durableId="1566840161">
    <w:abstractNumId w:val="34"/>
  </w:num>
  <w:num w:numId="57" w16cid:durableId="623923805">
    <w:abstractNumId w:val="58"/>
  </w:num>
  <w:num w:numId="58" w16cid:durableId="581065611">
    <w:abstractNumId w:val="20"/>
  </w:num>
  <w:num w:numId="59" w16cid:durableId="1039743038">
    <w:abstractNumId w:val="1"/>
  </w:num>
  <w:num w:numId="60" w16cid:durableId="111941858">
    <w:abstractNumId w:val="60"/>
  </w:num>
  <w:num w:numId="61" w16cid:durableId="178127816">
    <w:abstractNumId w:val="35"/>
  </w:num>
  <w:num w:numId="62" w16cid:durableId="128950747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7"/>
  </w:num>
  <w:num w:numId="64" w16cid:durableId="17894401">
    <w:abstractNumId w:val="24"/>
  </w:num>
  <w:num w:numId="65" w16cid:durableId="1804156493">
    <w:abstractNumId w:val="63"/>
  </w:num>
  <w:num w:numId="66" w16cid:durableId="1135833620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0B79"/>
    <w:rsid w:val="00007F82"/>
    <w:rsid w:val="0001557B"/>
    <w:rsid w:val="00040B7E"/>
    <w:rsid w:val="000474CD"/>
    <w:rsid w:val="0007240C"/>
    <w:rsid w:val="000870E9"/>
    <w:rsid w:val="000E310E"/>
    <w:rsid w:val="00131219"/>
    <w:rsid w:val="00150D46"/>
    <w:rsid w:val="0016421E"/>
    <w:rsid w:val="00176A9B"/>
    <w:rsid w:val="001827EB"/>
    <w:rsid w:val="001861E6"/>
    <w:rsid w:val="001B4377"/>
    <w:rsid w:val="001B5EBA"/>
    <w:rsid w:val="00213646"/>
    <w:rsid w:val="00251B20"/>
    <w:rsid w:val="00254BF0"/>
    <w:rsid w:val="002764B3"/>
    <w:rsid w:val="00277DB8"/>
    <w:rsid w:val="002B68B5"/>
    <w:rsid w:val="002E37C8"/>
    <w:rsid w:val="002F291C"/>
    <w:rsid w:val="00306426"/>
    <w:rsid w:val="00320D61"/>
    <w:rsid w:val="003322D2"/>
    <w:rsid w:val="00355E70"/>
    <w:rsid w:val="003B019A"/>
    <w:rsid w:val="003C4901"/>
    <w:rsid w:val="003C716F"/>
    <w:rsid w:val="00402377"/>
    <w:rsid w:val="004363CA"/>
    <w:rsid w:val="0045727C"/>
    <w:rsid w:val="00470409"/>
    <w:rsid w:val="00491048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03195"/>
    <w:rsid w:val="00611ECD"/>
    <w:rsid w:val="00612128"/>
    <w:rsid w:val="006354C5"/>
    <w:rsid w:val="00654808"/>
    <w:rsid w:val="00655F17"/>
    <w:rsid w:val="006618C2"/>
    <w:rsid w:val="006C4B84"/>
    <w:rsid w:val="006D4E16"/>
    <w:rsid w:val="00722DBA"/>
    <w:rsid w:val="00726393"/>
    <w:rsid w:val="00744028"/>
    <w:rsid w:val="00744668"/>
    <w:rsid w:val="0080508B"/>
    <w:rsid w:val="00806A7B"/>
    <w:rsid w:val="00837B3D"/>
    <w:rsid w:val="00844164"/>
    <w:rsid w:val="00851369"/>
    <w:rsid w:val="00852B2D"/>
    <w:rsid w:val="0089335B"/>
    <w:rsid w:val="008B6DA9"/>
    <w:rsid w:val="008E3991"/>
    <w:rsid w:val="008E52D0"/>
    <w:rsid w:val="008E6FEA"/>
    <w:rsid w:val="00932ED6"/>
    <w:rsid w:val="009419A6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40210"/>
    <w:rsid w:val="00A6501A"/>
    <w:rsid w:val="00A904A7"/>
    <w:rsid w:val="00A9430C"/>
    <w:rsid w:val="00AB48BB"/>
    <w:rsid w:val="00AE67C6"/>
    <w:rsid w:val="00B26E29"/>
    <w:rsid w:val="00B53103"/>
    <w:rsid w:val="00B54091"/>
    <w:rsid w:val="00B62C80"/>
    <w:rsid w:val="00BA4624"/>
    <w:rsid w:val="00BA5207"/>
    <w:rsid w:val="00BE54A4"/>
    <w:rsid w:val="00BF0910"/>
    <w:rsid w:val="00C02925"/>
    <w:rsid w:val="00C12DD4"/>
    <w:rsid w:val="00C23C03"/>
    <w:rsid w:val="00C35B67"/>
    <w:rsid w:val="00C418BC"/>
    <w:rsid w:val="00C42E66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C6EA8"/>
    <w:rsid w:val="00DD5518"/>
    <w:rsid w:val="00DD7E4D"/>
    <w:rsid w:val="00DE2F21"/>
    <w:rsid w:val="00E0119A"/>
    <w:rsid w:val="00E16903"/>
    <w:rsid w:val="00E545BB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860F9"/>
    <w:rsid w:val="00F95723"/>
    <w:rsid w:val="00FB417D"/>
    <w:rsid w:val="00FD44BA"/>
    <w:rsid w:val="00FE5104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.publiczne@warszawa.sr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971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Wyszyński Jacek</cp:lastModifiedBy>
  <cp:revision>8</cp:revision>
  <cp:lastPrinted>2026-08-03T07:24:00Z</cp:lastPrinted>
  <dcterms:created xsi:type="dcterms:W3CDTF">2026-07-01T11:44:00Z</dcterms:created>
  <dcterms:modified xsi:type="dcterms:W3CDTF">2026-08-03T07:24:00Z</dcterms:modified>
</cp:coreProperties>
</file>